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1B7A083" w14:textId="77777777" w:rsidTr="0010095E">
        <w:tblPrEx>
          <w:tblW w:w="9072" w:type="dxa"/>
          <w:tblCellMar>
            <w:left w:w="0" w:type="dxa"/>
            <w:right w:w="0" w:type="dxa"/>
          </w:tblCellMar>
          <w:tblLook w:val="01E0"/>
        </w:tblPrEx>
        <w:trPr>
          <w:trHeight w:hRule="exact" w:val="1418"/>
        </w:trPr>
        <w:tc>
          <w:tcPr>
            <w:tcW w:w="6804" w:type="dxa"/>
            <w:vAlign w:val="center"/>
          </w:tcPr>
          <w:p w:rsidR="00751A4A" w:rsidRPr="00D04DD0" w:rsidP="0010095E" w14:paraId="1B1F4CCA" w14:textId="632ADC49">
            <w:pPr>
              <w:pStyle w:val="EPName"/>
            </w:pPr>
            <w:r w:rsidRPr="00D04DD0">
              <w:t>Parlement européen</w:t>
            </w:r>
          </w:p>
          <w:p w:rsidR="00751A4A" w:rsidRPr="00D04DD0" w:rsidP="005F1B17" w14:paraId="1AD1ACEA" w14:textId="77777777">
            <w:pPr>
              <w:pStyle w:val="EPTerm"/>
              <w:rPr>
                <w:rStyle w:val="HideTWBExt"/>
                <w:noProof w:val="0"/>
                <w:vanish w:val="0"/>
                <w:color w:val="auto"/>
              </w:rPr>
            </w:pPr>
            <w:r w:rsidRPr="00D04DD0">
              <w:t>2024</w:t>
            </w:r>
            <w:r w:rsidRPr="00D04DD0" w:rsidR="00817416">
              <w:t>-202</w:t>
            </w:r>
            <w:r w:rsidRPr="00D04DD0">
              <w:t>9</w:t>
            </w:r>
          </w:p>
        </w:tc>
        <w:tc>
          <w:tcPr>
            <w:tcW w:w="2268" w:type="dxa"/>
          </w:tcPr>
          <w:p w:rsidR="00751A4A" w:rsidRPr="00D04DD0" w:rsidP="0010095E" w14:paraId="78E34414" w14:textId="77777777">
            <w:pPr>
              <w:pStyle w:val="EPLogo"/>
            </w:pPr>
            <w:r w:rsidRPr="00D04DD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54059"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04DD0" w:rsidP="004C5D52" w14:paraId="3C959523" w14:textId="77777777">
      <w:pPr>
        <w:pStyle w:val="LineTop"/>
      </w:pPr>
    </w:p>
    <w:p w:rsidR="00680577" w:rsidRPr="00D04DD0" w:rsidP="00680577" w14:paraId="5187277F" w14:textId="241D876F">
      <w:pPr>
        <w:pStyle w:val="EPBodyTA1"/>
      </w:pPr>
      <w:r w:rsidRPr="00D04DD0">
        <w:t>TEXTES ADOPTÉS</w:t>
      </w:r>
    </w:p>
    <w:p w:rsidR="00D058B8" w:rsidRPr="00D04DD0" w:rsidP="00D058B8" w14:paraId="49030D6D" w14:textId="77777777">
      <w:pPr>
        <w:pStyle w:val="LineBottom"/>
      </w:pPr>
    </w:p>
    <w:p w:rsidR="0015198E" w:rsidRPr="00D04DD0" w:rsidP="0015198E" w14:paraId="5DE43EFD" w14:textId="4712EEF2">
      <w:pPr>
        <w:pStyle w:val="ATHeading1"/>
      </w:pPr>
      <w:bookmarkStart w:id="0" w:name="TANumber"/>
      <w:r w:rsidRPr="00D04DD0">
        <w:t>P10_TA(2026)0</w:t>
      </w:r>
      <w:r w:rsidR="00A26E7E">
        <w:t>337</w:t>
      </w:r>
      <w:bookmarkEnd w:id="0"/>
    </w:p>
    <w:p w:rsidR="0015198E" w:rsidRPr="00D04DD0" w:rsidP="0015198E" w14:paraId="369F85FC" w14:textId="77777777">
      <w:pPr>
        <w:pStyle w:val="ATHeading2"/>
      </w:pPr>
      <w:bookmarkStart w:id="1" w:name="title"/>
      <w:r w:rsidRPr="00D04DD0">
        <w:t>Les cas d'Ali Karimli, d'Anar Mammadli et d'autres prisonniers politiques en Azerbaïdjan</w:t>
      </w:r>
      <w:bookmarkEnd w:id="1"/>
    </w:p>
    <w:p w:rsidR="0015198E" w:rsidRPr="00D04DD0" w:rsidP="0015198E" w14:paraId="50AA3B54" w14:textId="48CA52E2">
      <w:pPr>
        <w:rPr>
          <w:i/>
          <w:vanish/>
        </w:rPr>
      </w:pPr>
      <w:r>
        <w:rPr>
          <w:i/>
        </w:rPr>
        <w:fldChar w:fldCharType="begin"/>
      </w:r>
      <w:r w:rsidRPr="00D04DD0">
        <w:rPr>
          <w:i/>
        </w:rPr>
        <w:instrText xml:space="preserve"> TC"(</w:instrText>
      </w:r>
      <w:bookmarkStart w:id="2" w:name="DocNumber"/>
      <w:r w:rsidRPr="00D04DD0">
        <w:rPr>
          <w:i/>
        </w:rPr>
        <w:instrText>B10-0438</w:instrText>
      </w:r>
      <w:r w:rsidR="00E9485D">
        <w:rPr>
          <w:i/>
        </w:rPr>
        <w:instrText>, 0442, 0451, 0454, 0458 et 0460</w:instrText>
      </w:r>
      <w:r w:rsidRPr="00D04DD0">
        <w:rPr>
          <w:i/>
        </w:rPr>
        <w:instrText>/2026</w:instrText>
      </w:r>
      <w:bookmarkEnd w:id="2"/>
      <w:r w:rsidRPr="00D04DD0">
        <w:rPr>
          <w:i/>
        </w:rPr>
        <w:instrText xml:space="preserve">)"\l3 \n&gt; \* MERGEFORMAT </w:instrText>
      </w:r>
      <w:r>
        <w:rPr>
          <w:i/>
        </w:rPr>
        <w:fldChar w:fldCharType="end"/>
      </w:r>
    </w:p>
    <w:p w:rsidR="0015198E" w:rsidRPr="00D04DD0" w:rsidP="0015198E" w14:paraId="38231DD6" w14:textId="77777777">
      <w:pPr>
        <w:rPr>
          <w:vanish/>
        </w:rPr>
      </w:pPr>
      <w:bookmarkStart w:id="3" w:name="PE"/>
      <w:r w:rsidRPr="00D04DD0">
        <w:rPr>
          <w:vanish/>
        </w:rPr>
        <w:t>PE788.307</w:t>
      </w:r>
      <w:bookmarkEnd w:id="3"/>
    </w:p>
    <w:p w:rsidR="0015198E" w:rsidRPr="00D04DD0" w:rsidP="0015198E" w14:paraId="0AB5D090" w14:textId="77777777">
      <w:pPr>
        <w:pStyle w:val="ATHeading3"/>
      </w:pPr>
      <w:bookmarkStart w:id="4" w:name="Sujet"/>
      <w:r w:rsidRPr="00D04DD0">
        <w:t>Résolution du Parlement européen du 8 octobre 2026 sur les cas d’Ali Karimli, d’Anar Mammadli et d’autres prisonniers politiques en Azerbaïdjan</w:t>
      </w:r>
      <w:bookmarkEnd w:id="4"/>
      <w:r w:rsidRPr="00D04DD0">
        <w:t xml:space="preserve"> </w:t>
      </w:r>
      <w:bookmarkStart w:id="5" w:name="References"/>
      <w:r w:rsidRPr="00D04DD0">
        <w:t>(2026/2914(RSP))</w:t>
      </w:r>
      <w:bookmarkEnd w:id="5"/>
    </w:p>
    <w:p w:rsidR="00B47FD0" w:rsidRPr="00D04DD0" w:rsidP="00B47FD0" w14:paraId="3AAC04BF" w14:textId="77777777">
      <w:pPr>
        <w:pStyle w:val="EPComma"/>
      </w:pPr>
      <w:bookmarkStart w:id="6" w:name="TextBodyBegin"/>
      <w:bookmarkEnd w:id="6"/>
      <w:r w:rsidRPr="00D04DD0">
        <w:rPr>
          <w:i/>
        </w:rPr>
        <w:t>Le Parlement européen</w:t>
      </w:r>
      <w:r w:rsidRPr="00D04DD0">
        <w:t>,</w:t>
      </w:r>
    </w:p>
    <w:p w:rsidR="00B47FD0" w:rsidRPr="00D04DD0" w:rsidP="00B47FD0" w14:paraId="743EEF52" w14:textId="77777777">
      <w:pPr>
        <w:pStyle w:val="NormalHanging12a"/>
      </w:pPr>
      <w:r w:rsidRPr="00D04DD0">
        <w:t>–</w:t>
      </w:r>
      <w:r w:rsidRPr="00D04DD0">
        <w:tab/>
        <w:t>vu ses précédentes résolutions sur l’Azerbaïdjan, notamment celles du 19 décembre 2024</w:t>
      </w:r>
      <w:r>
        <w:rPr>
          <w:rStyle w:val="FootnoteReference"/>
        </w:rPr>
        <w:footnoteReference w:id="2"/>
      </w:r>
      <w:r w:rsidRPr="00D04DD0">
        <w:t xml:space="preserve"> et du 18 décembre 2025</w:t>
      </w:r>
      <w:r>
        <w:rPr>
          <w:rStyle w:val="FootnoteReference"/>
        </w:rPr>
        <w:footnoteReference w:id="3"/>
      </w:r>
      <w:r w:rsidRPr="00D04DD0">
        <w:t>,</w:t>
      </w:r>
    </w:p>
    <w:p w:rsidR="00B47FD0" w:rsidRPr="00D04DD0" w:rsidP="00B47FD0" w14:paraId="2D70181F" w14:textId="77777777">
      <w:pPr>
        <w:pStyle w:val="NormalHanging12a"/>
      </w:pPr>
      <w:r w:rsidRPr="00D04DD0">
        <w:t>–</w:t>
      </w:r>
      <w:r w:rsidRPr="00D04DD0">
        <w:tab/>
        <w:t>vu l’article 150, paragraphe 5, et l’article 136, paragraphe 4, de son règlement intérieur,</w:t>
      </w:r>
    </w:p>
    <w:p w:rsidR="00B47FD0" w:rsidRPr="00D04DD0" w:rsidP="00B47FD0" w14:paraId="405A3680" w14:textId="77777777">
      <w:pPr>
        <w:pStyle w:val="NormalHanging12a"/>
      </w:pPr>
      <w:r w:rsidRPr="00D04DD0">
        <w:t>A.</w:t>
      </w:r>
      <w:r w:rsidRPr="00D04DD0">
        <w:tab/>
        <w:t>considérant qu’Ali Karimli, président du Parti du Front populaire d'Azerbaïdjan, est en détention provisoire depuis le 29 novembre 2025, et que cette détention a été prolongée à deux reprises jusqu’au 13 novembre 2026, sur des accusations de prétendue prise violente du pouvoir, qu’il nie, et qui pourraient lui valoir une peine de réclusion à perpétuité;</w:t>
      </w:r>
    </w:p>
    <w:p w:rsidR="00B47FD0" w:rsidRPr="00D04DD0" w:rsidP="00B47FD0" w14:paraId="5FE9B326" w14:textId="77777777">
      <w:pPr>
        <w:pStyle w:val="NormalHanging12a"/>
      </w:pPr>
      <w:r w:rsidRPr="00D04DD0">
        <w:t>B.</w:t>
      </w:r>
      <w:r w:rsidRPr="00D04DD0">
        <w:tab/>
        <w:t xml:space="preserve">considérant que Human </w:t>
      </w:r>
      <w:r w:rsidRPr="00D04DD0">
        <w:t>Rights</w:t>
      </w:r>
      <w:r w:rsidRPr="00D04DD0">
        <w:t xml:space="preserve"> Watch et Amnesty International ont fait état d’une grave détérioration de ses conditions de détention, avec notamment des restrictions en matière de communication, de colis alimentaires et d’eau potable, l’absence de ventilation, la privation de sommeil, une déshydratation grave et des évanouissements; qu’Amnesty International a averti que cela pourrait être assimilé à des actes de torture ou à des mauvais traitements;</w:t>
      </w:r>
    </w:p>
    <w:p w:rsidR="00B47FD0" w:rsidRPr="00D04DD0" w:rsidP="00B47FD0" w14:paraId="238AB32A" w14:textId="77777777">
      <w:pPr>
        <w:pStyle w:val="NormalHanging12a"/>
      </w:pPr>
      <w:r w:rsidRPr="00D04DD0">
        <w:t>C.</w:t>
      </w:r>
      <w:r w:rsidRPr="00D04DD0">
        <w:tab/>
        <w:t xml:space="preserve">considérant qu’Anar Mammadli a été condamné le 7 septembre 2026 à 13 ans de prison sur la base de plusieurs chefs d’accusation; que la Cour européenne des droits de l’homme (CEDH) a précédemment estimé que sa détention était motivée par des considérations politiques; que son coprévenu, le journaliste Anar Abdullayev, a été </w:t>
      </w:r>
      <w:r w:rsidRPr="00D04DD0">
        <w:t>condamné à 12 ans de prison;</w:t>
      </w:r>
    </w:p>
    <w:p w:rsidR="00B47FD0" w:rsidRPr="00D04DD0" w:rsidP="00B47FD0" w14:paraId="1B081D7D" w14:textId="77777777">
      <w:pPr>
        <w:pStyle w:val="NormalHanging12a"/>
      </w:pPr>
      <w:r w:rsidRPr="00D04DD0">
        <w:t>D.</w:t>
      </w:r>
      <w:r w:rsidRPr="00D04DD0">
        <w:tab/>
        <w:t>considérant que ces affaires s’inscrivent dans un schéma plus large de répression à l’encontre des personnalités de l’opposition, des journalistes, des défenseurs des droits de l’homme, des militants et des universitaires, avec plus de 300 prisonniers politiques, y compris des prisonniers arméniens;</w:t>
      </w:r>
    </w:p>
    <w:p w:rsidR="00B47FD0" w:rsidRPr="00D04DD0" w:rsidP="00B47FD0" w14:paraId="216005F9" w14:textId="77777777">
      <w:pPr>
        <w:pStyle w:val="NormalHanging12a"/>
      </w:pPr>
      <w:r w:rsidRPr="00D04DD0">
        <w:t>1.</w:t>
      </w:r>
      <w:r w:rsidRPr="00D04DD0">
        <w:tab/>
        <w:t xml:space="preserve">condamne fermement le maintien en détention et l’incarcération, pour des motifs politiques, d’Ali Karimli, d’Anar Mammadli et d’Anar Abdullayev; demande leur libération immédiate et sans condition; exige un approvisionnement suffisant en eau et en nourriture, une ventilation adéquate, des soins médicaux, l’assistance d’avocats et des contacts avec la famille; demande des enquêtes indépendantes sur les allégations de mauvais traitement; demande instamment des garanties de respect de la légalité et du droit à un procès équitable; demande la pleine mise en œuvre des arrêts de la Cour européenne des droits de l’homme dans le groupe d’affaires </w:t>
      </w:r>
      <w:r w:rsidRPr="00D04DD0">
        <w:t>Mammadli</w:t>
      </w:r>
      <w:r w:rsidRPr="00D04DD0">
        <w:t>;</w:t>
      </w:r>
    </w:p>
    <w:p w:rsidR="00B47FD0" w:rsidRPr="00D04DD0" w:rsidP="00B47FD0" w14:paraId="7BD1F8D2" w14:textId="77777777">
      <w:pPr>
        <w:pStyle w:val="NormalHanging12a"/>
        <w:rPr>
          <w:bCs/>
        </w:rPr>
      </w:pPr>
      <w:r w:rsidRPr="00D04DD0">
        <w:t>2.</w:t>
      </w:r>
      <w:r w:rsidRPr="00D04DD0">
        <w:tab/>
        <w:t xml:space="preserve">invite les autorités azerbaïdjanaises à mettre fin aux représailles contre les détracteurs pacifiques, les journalistes, les militants des droits de l’homme, les dirigeants de l’opposition et les universitaires, à libérer tous les prisonniers politiques et à abandonner les poursuites pénales à leur encontre; demande instamment qu’il soit mis fin à l’utilisation abusive des lois pénales et de sécurité nationale pour réduire au silence les organisations non gouvernementales et les médias, et demande instamment le respect de l’indépendance de la justice; se félicite de l’arrivée de </w:t>
      </w:r>
      <w:r w:rsidRPr="00D04DD0">
        <w:t>Gubad</w:t>
      </w:r>
      <w:r w:rsidRPr="00D04DD0">
        <w:t xml:space="preserve"> Ibadoghlu en Allemagne pour un traitement médical urgent; demande la levée de toutes les poursuites pénales dont il fait l’objet; se déclare préoccupé par la détention de citoyens de l’Union, y compris le ressortissant français Anass Derraz;</w:t>
      </w:r>
    </w:p>
    <w:p w:rsidR="00B47FD0" w:rsidRPr="00D04DD0" w:rsidP="00B47FD0" w14:paraId="4143888D" w14:textId="77777777">
      <w:pPr>
        <w:pStyle w:val="NormalHanging12a"/>
      </w:pPr>
      <w:r w:rsidRPr="00D04DD0">
        <w:t>3.</w:t>
      </w:r>
      <w:r w:rsidRPr="00D04DD0">
        <w:tab/>
        <w:t>invite la VP/HR et les États membres à veiller à ce que le dialogue diplomatique respecte les valeurs démocratiques et à préparer des mesures ciblées dans le cadre du régime mondial de sanctions de l’Union en matière de droits de l’homme; invite la délégation de l’Union à Bakou et les ambassades des États membres à assurer le suivi des procès;</w:t>
      </w:r>
    </w:p>
    <w:p w:rsidR="00B47FD0" w:rsidRPr="00D04DD0" w:rsidP="00B47FD0" w14:paraId="56DA513A" w14:textId="77777777">
      <w:pPr>
        <w:pStyle w:val="NormalHanging12a"/>
      </w:pPr>
      <w:r w:rsidRPr="00D04DD0">
        <w:t>4.</w:t>
      </w:r>
      <w:r w:rsidRPr="00D04DD0">
        <w:tab/>
        <w:t>réaffirme que tout accord futur de partenariat UE-Azerbaïdjan devrait être subordonné à des améliorations tangibles en matière de droits de l’homme et d’état de droit, avec notamment la libération des prisonniers politiques;</w:t>
      </w:r>
    </w:p>
    <w:p w:rsidR="00B47FD0" w:rsidRPr="00D04DD0" w:rsidP="00B47FD0" w14:paraId="106B0D44" w14:textId="77777777">
      <w:pPr>
        <w:pStyle w:val="NormalHanging12a"/>
      </w:pPr>
      <w:r w:rsidRPr="00D04DD0">
        <w:t>5.</w:t>
      </w:r>
      <w:r w:rsidRPr="00D04DD0">
        <w:tab/>
        <w:t>invite la Commission à accroître son soutien à la société civile et aux médias indépendants azerbaïdjanais, y compris ceux en exil;</w:t>
      </w:r>
    </w:p>
    <w:p w:rsidR="00B47FD0" w:rsidRPr="00D04DD0" w:rsidP="00B47FD0" w14:paraId="75E8B275" w14:textId="77777777">
      <w:pPr>
        <w:pStyle w:val="NormalHanging12a"/>
      </w:pPr>
      <w:r w:rsidRPr="00D04DD0">
        <w:t>6.</w:t>
      </w:r>
      <w:r w:rsidRPr="00D04DD0">
        <w:tab/>
        <w:t xml:space="preserve">déplore la décision du Milli </w:t>
      </w:r>
      <w:r w:rsidRPr="00D04DD0">
        <w:t>Majlis</w:t>
      </w:r>
      <w:r w:rsidRPr="00D04DD0">
        <w:t xml:space="preserve"> de suspendre la coopération avec le Parlement et demande sa reprise;</w:t>
      </w:r>
    </w:p>
    <w:p w:rsidR="00B47FD0" w:rsidRPr="00D04DD0" w:rsidP="00B47FD0" w14:paraId="7B131AA7" w14:textId="77777777">
      <w:pPr>
        <w:pStyle w:val="NormalHanging12a"/>
      </w:pPr>
      <w:r w:rsidRPr="00D04DD0">
        <w:t>7.</w:t>
      </w:r>
      <w:r w:rsidRPr="00D04DD0">
        <w:tab/>
        <w:t>condamne la répression transnationale à l’encontre des détracteurs azerbaïdjanais à l’étranger; invite les États membres à soumettre les demandes d’extradition concernant des opposants au gouvernement à un contrôle rigoureux;</w:t>
      </w:r>
    </w:p>
    <w:p w:rsidR="00E365E1" w:rsidRPr="00D04DD0" w:rsidP="00570B6E" w14:paraId="32EFA9C6" w14:textId="294A3C92">
      <w:pPr>
        <w:pStyle w:val="NormalHanging12a"/>
      </w:pPr>
      <w:r w:rsidRPr="00D04DD0">
        <w:t>8.</w:t>
      </w:r>
      <w:r w:rsidRPr="00D04DD0">
        <w:tab/>
        <w:t>charge sa Présidente de transmettre la présente résolution au Conseil, à la Commission, à la VP/HR, aux États membres et aux autorités azerbaïdjanaises.</w:t>
      </w:r>
    </w:p>
    <w:sectPr w:rsidSect="00D04DD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RPr="00D04DD0" w14:paraId="5D7C206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RPr="00D04DD0" w14:paraId="06025C7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RPr="00D04DD0" w14:paraId="79DD997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97B09" w:rsidRPr="00D04DD0" w14:paraId="48940B22" w14:textId="77777777">
      <w:r w:rsidRPr="00D04DD0">
        <w:separator/>
      </w:r>
    </w:p>
  </w:footnote>
  <w:footnote w:type="continuationSeparator" w:id="1">
    <w:p w:rsidR="00297B09" w:rsidRPr="00D04DD0" w14:paraId="19E61F32" w14:textId="77777777">
      <w:r w:rsidRPr="00D04DD0">
        <w:continuationSeparator/>
      </w:r>
    </w:p>
  </w:footnote>
  <w:footnote w:id="2">
    <w:p w:rsidR="00B47FD0" w:rsidRPr="00D04DD0" w:rsidP="00D04DD0" w14:paraId="3C1CF6E7" w14:textId="3AC07EFA">
      <w:pPr>
        <w:pStyle w:val="FootnoteText"/>
        <w:ind w:left="567" w:hanging="567"/>
        <w:rPr>
          <w:sz w:val="24"/>
        </w:rPr>
      </w:pPr>
      <w:r w:rsidRPr="00D04DD0">
        <w:rPr>
          <w:rStyle w:val="FootnoteReference"/>
          <w:sz w:val="24"/>
        </w:rPr>
        <w:footnoteRef/>
      </w:r>
      <w:r w:rsidRPr="00D04DD0" w:rsidR="00D04DD0">
        <w:rPr>
          <w:sz w:val="24"/>
        </w:rPr>
        <w:t xml:space="preserve"> </w:t>
      </w:r>
      <w:r w:rsidRPr="00D04DD0" w:rsidR="00D04DD0">
        <w:rPr>
          <w:sz w:val="24"/>
        </w:rPr>
        <w:tab/>
      </w:r>
      <w:r w:rsidRPr="00D04DD0">
        <w:rPr>
          <w:sz w:val="24"/>
        </w:rPr>
        <w:t xml:space="preserve">Résolution du Parlement européen du 19 décembre 2024 sur la répression constante exercée contre la société civile et les médias indépendants en Azerbaïdjan, et le cas de </w:t>
      </w:r>
      <w:r w:rsidRPr="00D04DD0">
        <w:rPr>
          <w:sz w:val="24"/>
        </w:rPr>
        <w:t>Gubad</w:t>
      </w:r>
      <w:r w:rsidRPr="00D04DD0">
        <w:rPr>
          <w:sz w:val="24"/>
        </w:rPr>
        <w:t xml:space="preserve"> Ibadoghlu, d’Anar </w:t>
      </w:r>
      <w:r w:rsidRPr="00D04DD0">
        <w:rPr>
          <w:sz w:val="24"/>
        </w:rPr>
        <w:t>Mammadli</w:t>
      </w:r>
      <w:r w:rsidRPr="00D04DD0">
        <w:rPr>
          <w:sz w:val="24"/>
        </w:rPr>
        <w:t xml:space="preserve">, de Kamran Mammadli, de Rufat Safarov et de </w:t>
      </w:r>
      <w:r w:rsidRPr="00D04DD0">
        <w:rPr>
          <w:sz w:val="24"/>
        </w:rPr>
        <w:t>MeydanTV</w:t>
      </w:r>
      <w:r w:rsidRPr="00D04DD0">
        <w:rPr>
          <w:sz w:val="24"/>
        </w:rPr>
        <w:t xml:space="preserve">, JO C, C/2025/1970, 11.4.2025, ELI: </w:t>
      </w:r>
      <w:hyperlink r:id="rId1" w:history="1">
        <w:r w:rsidRPr="00D04DD0">
          <w:rPr>
            <w:rStyle w:val="Hyperlink"/>
            <w:sz w:val="24"/>
          </w:rPr>
          <w:t>http://data.europa.eu/eli/C/2025/1970/oj</w:t>
        </w:r>
      </w:hyperlink>
      <w:r w:rsidRPr="00D04DD0">
        <w:rPr>
          <w:sz w:val="24"/>
        </w:rPr>
        <w:t xml:space="preserve">. </w:t>
      </w:r>
    </w:p>
  </w:footnote>
  <w:footnote w:id="3">
    <w:p w:rsidR="00B47FD0" w:rsidRPr="00D04DD0" w:rsidP="00D04DD0" w14:paraId="3E38C3B3" w14:textId="35399A46">
      <w:pPr>
        <w:pStyle w:val="FootnoteText"/>
        <w:ind w:left="567" w:hanging="567"/>
        <w:rPr>
          <w:sz w:val="24"/>
        </w:rPr>
      </w:pPr>
      <w:r w:rsidRPr="00D04DD0">
        <w:rPr>
          <w:rStyle w:val="FootnoteReference"/>
          <w:sz w:val="24"/>
        </w:rPr>
        <w:footnoteRef/>
      </w:r>
      <w:r w:rsidRPr="00D04DD0" w:rsidR="00D04DD0">
        <w:rPr>
          <w:sz w:val="24"/>
        </w:rPr>
        <w:t xml:space="preserve"> </w:t>
      </w:r>
      <w:r w:rsidRPr="00D04DD0" w:rsidR="00D04DD0">
        <w:rPr>
          <w:sz w:val="24"/>
        </w:rPr>
        <w:tab/>
      </w:r>
      <w:r w:rsidRPr="00D04DD0">
        <w:rPr>
          <w:sz w:val="24"/>
        </w:rPr>
        <w:t xml:space="preserve">Résolution du Parlement européen du 18 décembre 2025 sur les arrestations et jugements arbitraires en Azerbaïdjan des universitaires Bahruz Samadov et Igbal Abilov, JO C, C/2026/2156, 6.5.2026, ELI: </w:t>
      </w:r>
      <w:hyperlink r:id="rId2" w:history="1">
        <w:r w:rsidRPr="00D04DD0">
          <w:rPr>
            <w:rStyle w:val="Hyperlink"/>
            <w:sz w:val="24"/>
          </w:rPr>
          <w:t>http://data.europa.eu/eli/C/2026/2156/oj</w:t>
        </w:r>
      </w:hyperlink>
      <w:r w:rsidRPr="00D04DD0">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RPr="00D04DD0" w14:paraId="3F92BB9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RPr="00D04DD0" w14:paraId="24C309B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RPr="00D04DD0" w14:paraId="444D8E0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98E"/>
    <w:rsid w:val="00002272"/>
    <w:rsid w:val="00064002"/>
    <w:rsid w:val="000677B9"/>
    <w:rsid w:val="000831BA"/>
    <w:rsid w:val="000A42CC"/>
    <w:rsid w:val="000E7DD9"/>
    <w:rsid w:val="0010095E"/>
    <w:rsid w:val="00125B37"/>
    <w:rsid w:val="0015198E"/>
    <w:rsid w:val="00187494"/>
    <w:rsid w:val="001F32AE"/>
    <w:rsid w:val="00236028"/>
    <w:rsid w:val="002767FF"/>
    <w:rsid w:val="00297B09"/>
    <w:rsid w:val="002A7998"/>
    <w:rsid w:val="002B18FE"/>
    <w:rsid w:val="002B5493"/>
    <w:rsid w:val="00343214"/>
    <w:rsid w:val="00361C00"/>
    <w:rsid w:val="00395FA1"/>
    <w:rsid w:val="003A626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B6E"/>
    <w:rsid w:val="005C2568"/>
    <w:rsid w:val="005F1B17"/>
    <w:rsid w:val="006037C0"/>
    <w:rsid w:val="00622775"/>
    <w:rsid w:val="006631B6"/>
    <w:rsid w:val="00680577"/>
    <w:rsid w:val="00680C1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E7E"/>
    <w:rsid w:val="00A43E52"/>
    <w:rsid w:val="00A4678D"/>
    <w:rsid w:val="00A778C7"/>
    <w:rsid w:val="00AB441E"/>
    <w:rsid w:val="00AB6293"/>
    <w:rsid w:val="00AE0928"/>
    <w:rsid w:val="00AF3B82"/>
    <w:rsid w:val="00B12E95"/>
    <w:rsid w:val="00B22876"/>
    <w:rsid w:val="00B47FD0"/>
    <w:rsid w:val="00B558F0"/>
    <w:rsid w:val="00BD48FE"/>
    <w:rsid w:val="00BD7BD8"/>
    <w:rsid w:val="00BE6ADC"/>
    <w:rsid w:val="00C05BFE"/>
    <w:rsid w:val="00C23CD4"/>
    <w:rsid w:val="00C61C0C"/>
    <w:rsid w:val="00C941CB"/>
    <w:rsid w:val="00CC2357"/>
    <w:rsid w:val="00CF071A"/>
    <w:rsid w:val="00D04DD0"/>
    <w:rsid w:val="00D058B8"/>
    <w:rsid w:val="00D56C11"/>
    <w:rsid w:val="00D834A0"/>
    <w:rsid w:val="00D872DF"/>
    <w:rsid w:val="00D91E21"/>
    <w:rsid w:val="00DA7FCD"/>
    <w:rsid w:val="00E365E1"/>
    <w:rsid w:val="00E820A4"/>
    <w:rsid w:val="00E9485D"/>
    <w:rsid w:val="00EB006A"/>
    <w:rsid w:val="00EB4772"/>
    <w:rsid w:val="00ED169E"/>
    <w:rsid w:val="00ED4235"/>
    <w:rsid w:val="00F04346"/>
    <w:rsid w:val="00F075DC"/>
    <w:rsid w:val="00F149E9"/>
    <w:rsid w:val="00F5134D"/>
    <w:rsid w:val="00F74202"/>
    <w:rsid w:val="00F87713"/>
    <w:rsid w:val="00FB4360"/>
    <w:rsid w:val="00FD0C70"/>
    <w:rsid w:val="00FD4ED4"/>
  </w:rsids>
  <w:docVars>
    <w:docVar w:name="dvdocse" w:val="B10-0438/2026"/>
    <w:docVar w:name="dvlangue" w:val="FR"/>
    <w:docVar w:name="dvnumam" w:val="0"/>
    <w:docVar w:name="dvpe" w:val="788.307"/>
    <w:docVar w:name="dvtitre" w:val="Résolution du Parlement européen du 8 octobre 2026 sur les cas d’Ali Karimli, d’Anar Mammadli et d’autres prisonniers politiques en Azerbaïdjan(2026/291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87D80D2D-E370-455B-9916-521A19DF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47FD0"/>
    <w:pPr>
      <w:spacing w:after="240"/>
      <w:ind w:left="567" w:hanging="567"/>
    </w:pPr>
  </w:style>
  <w:style w:type="paragraph" w:customStyle="1" w:styleId="EPComma">
    <w:name w:val="EPComma"/>
    <w:basedOn w:val="Normal"/>
    <w:link w:val="EPCommaChar"/>
    <w:rsid w:val="00B47FD0"/>
    <w:pPr>
      <w:spacing w:before="480" w:after="240"/>
    </w:pPr>
  </w:style>
  <w:style w:type="character" w:styleId="Hyperlink">
    <w:name w:val="Hyperlink"/>
    <w:basedOn w:val="DefaultParagraphFont"/>
    <w:uiPriority w:val="99"/>
    <w:unhideWhenUsed/>
    <w:rsid w:val="00B47FD0"/>
    <w:rPr>
      <w:color w:val="0563C1" w:themeColor="hyperlink"/>
      <w:u w:val="single"/>
    </w:rPr>
  </w:style>
  <w:style w:type="character" w:customStyle="1" w:styleId="NormalHanging12aChar">
    <w:name w:val="NormalHanging12a Char"/>
    <w:basedOn w:val="DefaultParagraphFont"/>
    <w:link w:val="NormalHanging12a"/>
    <w:locked/>
    <w:rsid w:val="00B47FD0"/>
    <w:rPr>
      <w:sz w:val="24"/>
      <w:lang w:val="fr-FR"/>
    </w:rPr>
  </w:style>
  <w:style w:type="character" w:customStyle="1" w:styleId="EPCommaChar">
    <w:name w:val="EPComma Char"/>
    <w:basedOn w:val="DefaultParagraphFont"/>
    <w:link w:val="EPComma"/>
    <w:rsid w:val="00B47FD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5/1970/oj" TargetMode="External" /><Relationship Id="rId2" Type="http://schemas.openxmlformats.org/officeDocument/2006/relationships/hyperlink" Target="http://data.europa.eu/eli/C/2026/215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2026-10-08T10:28:00Z</dcterms:created>
  <dcterms:modified xsi:type="dcterms:W3CDTF">2026-10-08T10:32:00Z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B10-0438/2026</vt:lpwstr>
  </property>
  <property fmtid="{D5CDD505-2E9C-101B-9397-08002B2CF9AE}" pid="4" name="&lt;Type&gt;">
    <vt:lpwstr>RR</vt:lpwstr>
  </property>
</Properties>
</file>